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373" w:rsidRDefault="00970373" w:rsidP="007107D3">
      <w:pPr>
        <w:pStyle w:val="Nadpis1"/>
      </w:pPr>
      <w:r>
        <w:t>Starověké dějepisectví</w:t>
      </w:r>
      <w:r w:rsidR="004D3678">
        <w:t>, antika</w:t>
      </w:r>
      <w:bookmarkStart w:id="0" w:name="_GoBack"/>
      <w:bookmarkEnd w:id="0"/>
    </w:p>
    <w:p w:rsidR="007107D3" w:rsidRPr="007107D3" w:rsidRDefault="007107D3" w:rsidP="007107D3"/>
    <w:p w:rsidR="00970373" w:rsidRPr="00F31AA5" w:rsidRDefault="00970373" w:rsidP="004D36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1AA5">
        <w:rPr>
          <w:rFonts w:ascii="Times New Roman" w:hAnsi="Times New Roman" w:cs="Times New Roman"/>
          <w:sz w:val="28"/>
          <w:szCs w:val="28"/>
        </w:rPr>
        <w:t>Marc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Bloch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v </w:t>
      </w:r>
      <w:r w:rsidRPr="00F31AA5">
        <w:rPr>
          <w:rFonts w:ascii="Times New Roman" w:hAnsi="Times New Roman" w:cs="Times New Roman"/>
          <w:i/>
          <w:sz w:val="28"/>
          <w:szCs w:val="28"/>
        </w:rPr>
        <w:t>Obraně historie</w:t>
      </w:r>
      <w:r w:rsidRPr="00F31AA5">
        <w:rPr>
          <w:rFonts w:ascii="Times New Roman" w:hAnsi="Times New Roman" w:cs="Times New Roman"/>
          <w:sz w:val="28"/>
          <w:szCs w:val="28"/>
        </w:rPr>
        <w:t xml:space="preserve"> kritizuje mýtus počátků, snahu historiků hledat příčiny zkoumaných jevů až k  nějaké prapříčině, a začínat tak vyprávění vskutku </w:t>
      </w:r>
      <w:r w:rsidR="00F31AA5">
        <w:rPr>
          <w:rFonts w:ascii="Times New Roman" w:hAnsi="Times New Roman" w:cs="Times New Roman"/>
          <w:sz w:val="28"/>
          <w:szCs w:val="28"/>
        </w:rPr>
        <w:t>„od Adama“. Neexistují univerz</w:t>
      </w:r>
      <w:r w:rsidRPr="00F31AA5">
        <w:rPr>
          <w:rFonts w:ascii="Times New Roman" w:hAnsi="Times New Roman" w:cs="Times New Roman"/>
          <w:sz w:val="28"/>
          <w:szCs w:val="28"/>
        </w:rPr>
        <w:t>ální příčiny a minulost nelze vtěsnat do přehledné kauzální řady příčin a následků. Neznamená to, že b</w:t>
      </w:r>
      <w:r w:rsidR="00F31AA5">
        <w:rPr>
          <w:rFonts w:ascii="Times New Roman" w:hAnsi="Times New Roman" w:cs="Times New Roman"/>
          <w:sz w:val="28"/>
          <w:szCs w:val="28"/>
        </w:rPr>
        <w:t xml:space="preserve">y historici měli na stanovování </w:t>
      </w:r>
      <w:r w:rsidRPr="00F31AA5">
        <w:rPr>
          <w:rFonts w:ascii="Times New Roman" w:hAnsi="Times New Roman" w:cs="Times New Roman"/>
          <w:sz w:val="28"/>
          <w:szCs w:val="28"/>
        </w:rPr>
        <w:t xml:space="preserve">východisek dějinných procesů zcela rezignovat,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Bloch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pouze upozorňuje na pochybenost představ ztotožňujících zvolený výchozí bod s příčinou následujících jevů. Kdy jindy si připomínat jeho slova než u samotných počátků dějepisectví? Význam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Hérodotových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i/>
          <w:sz w:val="28"/>
          <w:szCs w:val="28"/>
        </w:rPr>
        <w:t>Dějin</w:t>
      </w:r>
      <w:r w:rsidRPr="00F31AA5">
        <w:rPr>
          <w:rFonts w:ascii="Times New Roman" w:hAnsi="Times New Roman" w:cs="Times New Roman"/>
          <w:sz w:val="28"/>
          <w:szCs w:val="28"/>
        </w:rPr>
        <w:t>, jež začínají tradiční řadu historických prací, nelze popřít, neměli bychom však kvůli tomu přehlížet jejich pozadí.</w:t>
      </w:r>
    </w:p>
    <w:p w:rsidR="00970373" w:rsidRPr="00F31AA5" w:rsidRDefault="00970373" w:rsidP="004D36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AA5">
        <w:rPr>
          <w:rFonts w:ascii="Times New Roman" w:hAnsi="Times New Roman" w:cs="Times New Roman"/>
          <w:sz w:val="28"/>
          <w:szCs w:val="28"/>
        </w:rPr>
        <w:t xml:space="preserve">Nezbytnými podmínkami vzniku dějepisectví jako samostatného oboru lidského myšlení jsou uvědomění si historicity lidské existence a hláskové (alfabetické) písmo, jež oproti ostatním systémům písma umožňovalo odpovídající zachycení řeči a myšlenek, a tedy i přesnější grafickou fixaci uplynulých dějů. Hláskové písmo se rozvíjí v řeckém </w:t>
      </w:r>
      <w:proofErr w:type="gramStart"/>
      <w:r w:rsidRPr="00F31AA5">
        <w:rPr>
          <w:rFonts w:ascii="Times New Roman" w:hAnsi="Times New Roman" w:cs="Times New Roman"/>
          <w:sz w:val="28"/>
          <w:szCs w:val="28"/>
        </w:rPr>
        <w:t>prostředí 9.–8. století</w:t>
      </w:r>
      <w:proofErr w:type="gramEnd"/>
      <w:r w:rsidRPr="00F31AA5">
        <w:rPr>
          <w:rFonts w:ascii="Times New Roman" w:hAnsi="Times New Roman" w:cs="Times New Roman"/>
          <w:sz w:val="28"/>
          <w:szCs w:val="28"/>
        </w:rPr>
        <w:t xml:space="preserve"> př. n. l. a po několik následujících staletí krystalizuje do formy monumentálního písma, které se již blíží dnešní alfabetě. Kritickou reflexi rozvoje písma, jež údajně znevažovalo pravé vědění uchovávané v paměti, zanechal ještě v první půli 4. století př.  n.  l. Platón v  dialogu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Faidros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. </w:t>
      </w:r>
      <w:r w:rsidRPr="00F31AA5">
        <w:rPr>
          <w:rFonts w:ascii="Times New Roman" w:hAnsi="Times New Roman" w:cs="Times New Roman"/>
          <w:i/>
          <w:sz w:val="28"/>
          <w:szCs w:val="28"/>
        </w:rPr>
        <w:t>„Tato nauka zanedbáváním paměti způsobí zapomínání v duších těch, kteří s</w:t>
      </w:r>
      <w:r w:rsidR="00F31AA5" w:rsidRPr="00F31AA5">
        <w:rPr>
          <w:rFonts w:ascii="Times New Roman" w:hAnsi="Times New Roman" w:cs="Times New Roman"/>
          <w:i/>
          <w:sz w:val="28"/>
          <w:szCs w:val="28"/>
        </w:rPr>
        <w:t>e ji</w:t>
      </w:r>
      <w:r w:rsidRPr="00F31AA5">
        <w:rPr>
          <w:rFonts w:ascii="Times New Roman" w:hAnsi="Times New Roman" w:cs="Times New Roman"/>
          <w:i/>
          <w:sz w:val="28"/>
          <w:szCs w:val="28"/>
        </w:rPr>
        <w:t xml:space="preserve"> naučí, protože spoléhajíce na písmo budou se rozpomínat na věci zevně, z popudu cizích znaků, a ne zevnitř sami od sebe, nevynalezl jsi lék pro paměť, nýbrž pro upamatování. A co se týče moudrosti, poskytuješ svým žákům její zdání, ne skutečnost; neboť </w:t>
      </w:r>
      <w:proofErr w:type="spellStart"/>
      <w:r w:rsidRPr="00F31AA5">
        <w:rPr>
          <w:rFonts w:ascii="Times New Roman" w:hAnsi="Times New Roman" w:cs="Times New Roman"/>
          <w:i/>
          <w:sz w:val="28"/>
          <w:szCs w:val="28"/>
        </w:rPr>
        <w:t>stanouce</w:t>
      </w:r>
      <w:proofErr w:type="spellEnd"/>
      <w:r w:rsidRPr="00F31AA5">
        <w:rPr>
          <w:rFonts w:ascii="Times New Roman" w:hAnsi="Times New Roman" w:cs="Times New Roman"/>
          <w:i/>
          <w:sz w:val="28"/>
          <w:szCs w:val="28"/>
        </w:rPr>
        <w:t xml:space="preserve"> se </w:t>
      </w:r>
      <w:proofErr w:type="spellStart"/>
      <w:r w:rsidRPr="00F31AA5">
        <w:rPr>
          <w:rFonts w:ascii="Times New Roman" w:hAnsi="Times New Roman" w:cs="Times New Roman"/>
          <w:i/>
          <w:sz w:val="28"/>
          <w:szCs w:val="28"/>
        </w:rPr>
        <w:t>sčetlými</w:t>
      </w:r>
      <w:proofErr w:type="spellEnd"/>
      <w:r w:rsidRPr="00F31AA5">
        <w:rPr>
          <w:rFonts w:ascii="Times New Roman" w:hAnsi="Times New Roman" w:cs="Times New Roman"/>
          <w:i/>
          <w:sz w:val="28"/>
          <w:szCs w:val="28"/>
        </w:rPr>
        <w:t xml:space="preserve"> bez ústních výkladů, budou působit zdání, že jsou </w:t>
      </w:r>
      <w:proofErr w:type="spellStart"/>
      <w:r w:rsidRPr="00F31AA5">
        <w:rPr>
          <w:rFonts w:ascii="Times New Roman" w:hAnsi="Times New Roman" w:cs="Times New Roman"/>
          <w:i/>
          <w:sz w:val="28"/>
          <w:szCs w:val="28"/>
        </w:rPr>
        <w:t>mnohoznalí</w:t>
      </w:r>
      <w:proofErr w:type="spellEnd"/>
      <w:r w:rsidRPr="00F31AA5">
        <w:rPr>
          <w:rFonts w:ascii="Times New Roman" w:hAnsi="Times New Roman" w:cs="Times New Roman"/>
          <w:i/>
          <w:sz w:val="28"/>
          <w:szCs w:val="28"/>
        </w:rPr>
        <w:t>, ačkoli budou většinou neznalí</w:t>
      </w:r>
      <w:r w:rsidRPr="00F31AA5">
        <w:rPr>
          <w:rFonts w:ascii="Times New Roman" w:hAnsi="Times New Roman" w:cs="Times New Roman"/>
          <w:sz w:val="28"/>
          <w:szCs w:val="28"/>
        </w:rPr>
        <w:t>,“</w:t>
      </w:r>
      <w:r w:rsidR="00F31AA5">
        <w:rPr>
          <w:rFonts w:ascii="Times New Roman" w:hAnsi="Times New Roman" w:cs="Times New Roman"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sz w:val="28"/>
          <w:szCs w:val="28"/>
        </w:rPr>
        <w:t xml:space="preserve">vkládá řecký filosof svou kritiku do úst krále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Thamuse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>.</w:t>
      </w:r>
    </w:p>
    <w:p w:rsidR="00970373" w:rsidRPr="00F31AA5" w:rsidRDefault="00970373" w:rsidP="004D36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AA5">
        <w:rPr>
          <w:rFonts w:ascii="Times New Roman" w:hAnsi="Times New Roman" w:cs="Times New Roman"/>
          <w:sz w:val="28"/>
          <w:szCs w:val="28"/>
        </w:rPr>
        <w:lastRenderedPageBreak/>
        <w:t>Pokud je u písma nejstarší vývoj relativně zřetelný, počátky historického vědomí u archaických společností představují podstatně náročnější téma. Díky výzkumům antropologů a etnologů víme o pojímání minulosti u společností považovaných za „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bezdějinné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“, díky pracím Jana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Assmanna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pak o přístupu k minulosti u společností, jež například český filosof Jan Patočka označil za „předdějinné“. Kulturní paměť se však vzpírá filosofickým spekulacím a také Chetité, Egypťané či Izraelité si byli vědomi svých předešlých dějin, jen jejich přístup k nim se lišil od pozdějšího „historického“ a minulost byla ztvárňována odlišným způsobem, ať již ve formě zákoníku, kánonu egyptského chrámu nebo posvátných knih. Tento stav se ale začíná na přelomu 8. a 7. století př. n. l. měnit.</w:t>
      </w:r>
      <w:r w:rsidR="00F31AA5">
        <w:rPr>
          <w:rFonts w:ascii="Times New Roman" w:hAnsi="Times New Roman" w:cs="Times New Roman"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sz w:val="28"/>
          <w:szCs w:val="28"/>
        </w:rPr>
        <w:t xml:space="preserve">Jedním z  příznaků změny je nepochybně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Hésiodův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výklad dějů od zlatého věku </w:t>
      </w:r>
      <w:r w:rsidR="00F31AA5">
        <w:rPr>
          <w:rFonts w:ascii="Times New Roman" w:hAnsi="Times New Roman" w:cs="Times New Roman"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sz w:val="28"/>
          <w:szCs w:val="28"/>
        </w:rPr>
        <w:t>k  železnému, který je právem o</w:t>
      </w:r>
      <w:r w:rsidR="00F31AA5">
        <w:rPr>
          <w:rFonts w:ascii="Times New Roman" w:hAnsi="Times New Roman" w:cs="Times New Roman"/>
          <w:sz w:val="28"/>
          <w:szCs w:val="28"/>
        </w:rPr>
        <w:t>značován za jednu z prvých filoz</w:t>
      </w:r>
      <w:r w:rsidRPr="00F31AA5">
        <w:rPr>
          <w:rFonts w:ascii="Times New Roman" w:hAnsi="Times New Roman" w:cs="Times New Roman"/>
          <w:sz w:val="28"/>
          <w:szCs w:val="28"/>
        </w:rPr>
        <w:t xml:space="preserve">ofií dějin. Pokusy o kritické uchopení minulosti ale zřejmě vycházejí ze zážitku setkání s jinými kulturami. Nové řecké obce, zakládané na maloasijském pobřeží, nevyrůstaly jako domovské osady z tradicí udržovaných zakladatelských mýtů, nýbrž musely hledat smysl své existence během setkávání s odlišnou perskou kulturou. Z půdy setkávání a střetů vyrůstají též </w:t>
      </w:r>
      <w:r w:rsidRPr="00F31AA5">
        <w:rPr>
          <w:rFonts w:ascii="Times New Roman" w:hAnsi="Times New Roman" w:cs="Times New Roman"/>
          <w:i/>
          <w:sz w:val="28"/>
          <w:szCs w:val="28"/>
        </w:rPr>
        <w:t>Dějiny (</w:t>
      </w:r>
      <w:proofErr w:type="spellStart"/>
      <w:r w:rsidRPr="00F31AA5">
        <w:rPr>
          <w:rFonts w:ascii="Times New Roman" w:hAnsi="Times New Roman" w:cs="Times New Roman"/>
          <w:i/>
          <w:sz w:val="28"/>
          <w:szCs w:val="28"/>
        </w:rPr>
        <w:t>Historiés</w:t>
      </w:r>
      <w:proofErr w:type="spellEnd"/>
      <w:r w:rsidRPr="00F31AA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31AA5">
        <w:rPr>
          <w:rFonts w:ascii="Times New Roman" w:hAnsi="Times New Roman" w:cs="Times New Roman"/>
          <w:i/>
          <w:sz w:val="28"/>
          <w:szCs w:val="28"/>
        </w:rPr>
        <w:t>apodexis</w:t>
      </w:r>
      <w:proofErr w:type="spellEnd"/>
      <w:r w:rsidRPr="00F31AA5">
        <w:rPr>
          <w:rFonts w:ascii="Times New Roman" w:hAnsi="Times New Roman" w:cs="Times New Roman"/>
          <w:i/>
          <w:sz w:val="28"/>
          <w:szCs w:val="28"/>
        </w:rPr>
        <w:t>)</w:t>
      </w:r>
      <w:r w:rsidR="00F31AA5">
        <w:rPr>
          <w:rFonts w:ascii="Times New Roman" w:hAnsi="Times New Roman" w:cs="Times New Roman"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b/>
          <w:sz w:val="28"/>
          <w:szCs w:val="28"/>
        </w:rPr>
        <w:t xml:space="preserve">Hérodota z  </w:t>
      </w:r>
      <w:proofErr w:type="spellStart"/>
      <w:r w:rsidRPr="00F31AA5">
        <w:rPr>
          <w:rFonts w:ascii="Times New Roman" w:hAnsi="Times New Roman" w:cs="Times New Roman"/>
          <w:b/>
          <w:sz w:val="28"/>
          <w:szCs w:val="28"/>
        </w:rPr>
        <w:t>Halikarnássu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(kolem 484 – po 430 př.  n.  l.), kterého později Cicero nazval pater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historiae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, otec dějepisectví. Svým rozsahem a v úvodu formulovaným záměrem nalézt objektivně doložitelný základ nepřátelství Peršanů vůči Řekům, a to bez ohledu na tradovaná vyprávění, se nepochybně řadí na počátek přehledů dějepisných prací, uspořádáním jde ještě o práci kombinující historický a „etnografický“ přístup (což je jeden z častých rysů předmoderního dějepisectví). Oproti tomu o něco mladší </w:t>
      </w:r>
      <w:proofErr w:type="spellStart"/>
      <w:r w:rsidRPr="00F31AA5">
        <w:rPr>
          <w:rFonts w:ascii="Times New Roman" w:hAnsi="Times New Roman" w:cs="Times New Roman"/>
          <w:b/>
          <w:sz w:val="28"/>
          <w:szCs w:val="28"/>
        </w:rPr>
        <w:t>Thúkýdidovy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i/>
          <w:sz w:val="28"/>
          <w:szCs w:val="28"/>
        </w:rPr>
        <w:t>Dějiny peloponéské války</w:t>
      </w:r>
      <w:r w:rsidR="00F31AA5">
        <w:rPr>
          <w:rFonts w:ascii="Times New Roman" w:hAnsi="Times New Roman" w:cs="Times New Roman"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sz w:val="28"/>
          <w:szCs w:val="28"/>
        </w:rPr>
        <w:t xml:space="preserve">již představují pečlivě zvládnutý pokus o historické uchopení nedávné minulosti, byť pokus motivovaný snahou o osobní obhajobu, neboť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Thúkýdidés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(kol 470/460 – poč. 4. století př. n. l.) je sepisoval v thráckém vyhnanství, kam se uchýlil před obviněním, že selhal při obraně města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Amfipolis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proti spartskému vojsku. Podobně jako Hérodotos předeslal i on svému dílu metodologický úvod, po němž </w:t>
      </w:r>
      <w:r w:rsidRPr="00F31AA5">
        <w:rPr>
          <w:rFonts w:ascii="Times New Roman" w:hAnsi="Times New Roman" w:cs="Times New Roman"/>
          <w:sz w:val="28"/>
          <w:szCs w:val="28"/>
        </w:rPr>
        <w:lastRenderedPageBreak/>
        <w:t>uceleně v chronologickém sledu pojednal dvacet let válek mezi Athénami a Spartou.</w:t>
      </w:r>
      <w:r w:rsidR="00F31AA5">
        <w:rPr>
          <w:rFonts w:ascii="Times New Roman" w:hAnsi="Times New Roman" w:cs="Times New Roman"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sz w:val="28"/>
          <w:szCs w:val="28"/>
        </w:rPr>
        <w:t xml:space="preserve">Rozmáchlost a pestrost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Hérodotova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vyprávění proti sevřenému výkladu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Thúkýdidovu</w:t>
      </w:r>
      <w:proofErr w:type="spellEnd"/>
      <w:r w:rsidR="00F31AA5">
        <w:rPr>
          <w:rFonts w:ascii="Times New Roman" w:hAnsi="Times New Roman" w:cs="Times New Roman"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sz w:val="28"/>
          <w:szCs w:val="28"/>
        </w:rPr>
        <w:t xml:space="preserve">využil nedávno D.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Kelley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k postulování dvou linií historické práce od starověku dodnes, prvé hérodotovské – kulturněhistorické, syntetizující, druhé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thúkýdidovské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– politické, analyzující. Jakkoliv jsou různá schémata, vkládaná na tisíciletí dějin oboru, často svazující a omezující, má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Kelleyho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rozlišení své funkční opodstatnění a budeme se na něj i dále odvolávat. A rovnou již v souvislosti s přesunem centra historického psaní z Řecka do Říma během 2. století př. n. l. Spojnicí obou světů je vzdělaný Řek </w:t>
      </w:r>
      <w:proofErr w:type="spellStart"/>
      <w:r w:rsidRPr="00F31AA5">
        <w:rPr>
          <w:rFonts w:ascii="Times New Roman" w:hAnsi="Times New Roman" w:cs="Times New Roman"/>
          <w:b/>
          <w:sz w:val="28"/>
          <w:szCs w:val="28"/>
        </w:rPr>
        <w:t>Polybios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(poč. 2. století př. n. l. – před 120 př. n. l.), který navazuje na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thúkýdidovskou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linii politických dějin, k níž přidává jako nezbytnou podmínku vlastní politickou praxi a znalost ústav (tj. politických uspořádání) jednotlivých zemí.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Polybios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formuluje – oproti </w:t>
      </w:r>
      <w:proofErr w:type="spellStart"/>
      <w:r w:rsidRPr="00F31AA5">
        <w:rPr>
          <w:rFonts w:ascii="Times New Roman" w:hAnsi="Times New Roman" w:cs="Times New Roman"/>
          <w:b/>
          <w:sz w:val="28"/>
          <w:szCs w:val="28"/>
        </w:rPr>
        <w:t>Hésiodově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úpadkové – cyklickou filosofii dějin, založenou na přirozeném nahrazování přežilých ústav  dokonalejšími. Ani Řím, zažívající právě éru rozmachu, tak není podle něho věčný.</w:t>
      </w:r>
      <w:r w:rsidR="00F31AA5">
        <w:rPr>
          <w:rFonts w:ascii="Times New Roman" w:hAnsi="Times New Roman" w:cs="Times New Roman"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sz w:val="28"/>
          <w:szCs w:val="28"/>
        </w:rPr>
        <w:t xml:space="preserve">Republikánský a císařský Řím dal vzniknout desítkám dějepisných děl. Těžko mezi nimi nalézt vhodnějšího reprezentanta hérodotovské linie než </w:t>
      </w:r>
      <w:r w:rsidRPr="00F31AA5">
        <w:rPr>
          <w:rFonts w:ascii="Times New Roman" w:hAnsi="Times New Roman" w:cs="Times New Roman"/>
          <w:i/>
          <w:sz w:val="28"/>
          <w:szCs w:val="28"/>
        </w:rPr>
        <w:t>Dějiny Říma</w:t>
      </w:r>
      <w:r w:rsidR="00F31AA5" w:rsidRPr="00F31A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i/>
          <w:sz w:val="28"/>
          <w:szCs w:val="28"/>
        </w:rPr>
        <w:t xml:space="preserve">(Ab </w:t>
      </w:r>
      <w:proofErr w:type="spellStart"/>
      <w:r w:rsidRPr="00F31AA5">
        <w:rPr>
          <w:rFonts w:ascii="Times New Roman" w:hAnsi="Times New Roman" w:cs="Times New Roman"/>
          <w:i/>
          <w:sz w:val="28"/>
          <w:szCs w:val="28"/>
        </w:rPr>
        <w:t>urbe</w:t>
      </w:r>
      <w:proofErr w:type="spellEnd"/>
      <w:r w:rsidRPr="00F31AA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31AA5">
        <w:rPr>
          <w:rFonts w:ascii="Times New Roman" w:hAnsi="Times New Roman" w:cs="Times New Roman"/>
          <w:i/>
          <w:sz w:val="28"/>
          <w:szCs w:val="28"/>
        </w:rPr>
        <w:t>condita</w:t>
      </w:r>
      <w:proofErr w:type="spellEnd"/>
      <w:r w:rsidRPr="00F31AA5">
        <w:rPr>
          <w:rFonts w:ascii="Times New Roman" w:hAnsi="Times New Roman" w:cs="Times New Roman"/>
          <w:i/>
          <w:sz w:val="28"/>
          <w:szCs w:val="28"/>
        </w:rPr>
        <w:t>, tj. od založení města)</w:t>
      </w:r>
      <w:r w:rsidRPr="00F31AA5">
        <w:rPr>
          <w:rFonts w:ascii="Times New Roman" w:hAnsi="Times New Roman" w:cs="Times New Roman"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b/>
          <w:sz w:val="28"/>
          <w:szCs w:val="28"/>
        </w:rPr>
        <w:t>Tita Livia</w:t>
      </w:r>
      <w:r w:rsidRPr="00F31AA5">
        <w:rPr>
          <w:rFonts w:ascii="Times New Roman" w:hAnsi="Times New Roman" w:cs="Times New Roman"/>
          <w:sz w:val="28"/>
          <w:szCs w:val="28"/>
        </w:rPr>
        <w:t xml:space="preserve"> (59 př. n. l. – 17 n. l.), rozmáchlé vyprávění, jež si kladlo za cíl „zachovat znamenité činy předního národa světa</w:t>
      </w:r>
      <w:r w:rsidR="00F31AA5">
        <w:rPr>
          <w:rFonts w:ascii="Times New Roman" w:hAnsi="Times New Roman" w:cs="Times New Roman"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sz w:val="28"/>
          <w:szCs w:val="28"/>
        </w:rPr>
        <w:t xml:space="preserve">“a „obnovit paměť událostí“. Literární kvality díla a stovky vypointovaných historek, jež se na jeho stranách nacházejí, se postaraly o oblibu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Liviových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dějin v  následujících staletích, na kritické zhodnocení sebraného materiálu však autor vědomě rezignoval. A koho jiného uvést jako příklad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thúkýdidovské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tváře oboru než </w:t>
      </w:r>
      <w:proofErr w:type="spellStart"/>
      <w:r w:rsidRPr="00F31AA5">
        <w:rPr>
          <w:rFonts w:ascii="Times New Roman" w:hAnsi="Times New Roman" w:cs="Times New Roman"/>
          <w:b/>
          <w:sz w:val="28"/>
          <w:szCs w:val="28"/>
        </w:rPr>
        <w:t>Tacita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(asi 55 – kol 120)? Jak jeho </w:t>
      </w:r>
      <w:r w:rsidRPr="00F31AA5">
        <w:rPr>
          <w:rFonts w:ascii="Times New Roman" w:hAnsi="Times New Roman" w:cs="Times New Roman"/>
          <w:i/>
          <w:sz w:val="28"/>
          <w:szCs w:val="28"/>
        </w:rPr>
        <w:t>Dějiny</w:t>
      </w:r>
      <w:r w:rsidRPr="00F31AA5">
        <w:rPr>
          <w:rFonts w:ascii="Times New Roman" w:hAnsi="Times New Roman" w:cs="Times New Roman"/>
          <w:sz w:val="28"/>
          <w:szCs w:val="28"/>
        </w:rPr>
        <w:t xml:space="preserve">, věnované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flaviovské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dynastii, tak </w:t>
      </w:r>
      <w:r w:rsidRPr="004D3678">
        <w:rPr>
          <w:rFonts w:ascii="Times New Roman" w:hAnsi="Times New Roman" w:cs="Times New Roman"/>
          <w:i/>
          <w:sz w:val="28"/>
          <w:szCs w:val="28"/>
        </w:rPr>
        <w:t>Letopisy</w:t>
      </w:r>
      <w:r w:rsidRPr="00F31AA5">
        <w:rPr>
          <w:rFonts w:ascii="Times New Roman" w:hAnsi="Times New Roman" w:cs="Times New Roman"/>
          <w:sz w:val="28"/>
          <w:szCs w:val="28"/>
        </w:rPr>
        <w:t xml:space="preserve">, pojednávající o ožehavé době od Tiberia po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Nerona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>, představují netoliko soustředěný výklad politických událostí, ale stejnou měrou i úvahy o nedávno minulých dějích a o úloze historika. Nastavenou maximu psát „bez jakéhokoliv zaujetí“</w:t>
      </w:r>
      <w:r w:rsidR="004D3678">
        <w:rPr>
          <w:rFonts w:ascii="Times New Roman" w:hAnsi="Times New Roman" w:cs="Times New Roman"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sz w:val="28"/>
          <w:szCs w:val="28"/>
        </w:rPr>
        <w:t xml:space="preserve">sice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Tacitus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nedodržel, pojmenoval však řadu problémů, které provázejí dějepisectví dodnes, ač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Liviovy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obliby až do doby renesance nedosáhl. Otázku „jak psát dějiny“ si </w:t>
      </w:r>
      <w:r w:rsidRPr="00F31AA5">
        <w:rPr>
          <w:rFonts w:ascii="Times New Roman" w:hAnsi="Times New Roman" w:cs="Times New Roman"/>
          <w:sz w:val="28"/>
          <w:szCs w:val="28"/>
        </w:rPr>
        <w:lastRenderedPageBreak/>
        <w:t xml:space="preserve">skryt za satirickou maskou kladl ve 2. století n. l. též </w:t>
      </w:r>
      <w:proofErr w:type="spellStart"/>
      <w:r w:rsidRPr="004D3678">
        <w:rPr>
          <w:rFonts w:ascii="Times New Roman" w:hAnsi="Times New Roman" w:cs="Times New Roman"/>
          <w:b/>
          <w:sz w:val="28"/>
          <w:szCs w:val="28"/>
        </w:rPr>
        <w:t>Lúkiános</w:t>
      </w:r>
      <w:proofErr w:type="spellEnd"/>
      <w:r w:rsidRPr="004D3678">
        <w:rPr>
          <w:rFonts w:ascii="Times New Roman" w:hAnsi="Times New Roman" w:cs="Times New Roman"/>
          <w:b/>
          <w:sz w:val="28"/>
          <w:szCs w:val="28"/>
        </w:rPr>
        <w:t xml:space="preserve"> ze </w:t>
      </w:r>
      <w:proofErr w:type="spellStart"/>
      <w:r w:rsidRPr="004D3678">
        <w:rPr>
          <w:rFonts w:ascii="Times New Roman" w:hAnsi="Times New Roman" w:cs="Times New Roman"/>
          <w:b/>
          <w:sz w:val="28"/>
          <w:szCs w:val="28"/>
        </w:rPr>
        <w:t>Samosaty</w:t>
      </w:r>
      <w:proofErr w:type="spellEnd"/>
      <w:r w:rsidR="004D3678">
        <w:rPr>
          <w:rFonts w:ascii="Times New Roman" w:hAnsi="Times New Roman" w:cs="Times New Roman"/>
          <w:sz w:val="28"/>
          <w:szCs w:val="28"/>
        </w:rPr>
        <w:t>, nejen v </w:t>
      </w:r>
      <w:r w:rsidRPr="00F31AA5">
        <w:rPr>
          <w:rFonts w:ascii="Times New Roman" w:hAnsi="Times New Roman" w:cs="Times New Roman"/>
          <w:sz w:val="28"/>
          <w:szCs w:val="28"/>
        </w:rPr>
        <w:t>díl</w:t>
      </w:r>
      <w:r w:rsidR="004D3678">
        <w:rPr>
          <w:rFonts w:ascii="Times New Roman" w:hAnsi="Times New Roman" w:cs="Times New Roman"/>
          <w:sz w:val="28"/>
          <w:szCs w:val="28"/>
        </w:rPr>
        <w:t xml:space="preserve">e </w:t>
      </w:r>
      <w:r w:rsidR="004D3678" w:rsidRPr="004D3678">
        <w:rPr>
          <w:rFonts w:ascii="Times New Roman" w:hAnsi="Times New Roman" w:cs="Times New Roman"/>
          <w:i/>
          <w:sz w:val="28"/>
          <w:szCs w:val="28"/>
        </w:rPr>
        <w:t>Pravdivé příběhy</w:t>
      </w:r>
      <w:r w:rsidRPr="00F31AA5">
        <w:rPr>
          <w:rFonts w:ascii="Times New Roman" w:hAnsi="Times New Roman" w:cs="Times New Roman"/>
          <w:sz w:val="28"/>
          <w:szCs w:val="28"/>
        </w:rPr>
        <w:t>, které obsahuje hlubší postřehy k ztvárňování minulosti než velká část tehdejší dějepisné produkce.</w:t>
      </w:r>
      <w:r w:rsidR="004D3678">
        <w:rPr>
          <w:rFonts w:ascii="Times New Roman" w:hAnsi="Times New Roman" w:cs="Times New Roman"/>
          <w:sz w:val="28"/>
          <w:szCs w:val="28"/>
        </w:rPr>
        <w:t xml:space="preserve"> </w:t>
      </w:r>
      <w:r w:rsidRPr="00F31AA5">
        <w:rPr>
          <w:rFonts w:ascii="Times New Roman" w:hAnsi="Times New Roman" w:cs="Times New Roman"/>
          <w:sz w:val="28"/>
          <w:szCs w:val="28"/>
        </w:rPr>
        <w:t xml:space="preserve">Při souborném pohledu na necelých tisíc let starověkého dějepisectví můžeme vymezit několik základních charakteristik, z nichž většina bude provázet psaní dějin též v průběhu středověku. Historická díla starověku nahrazovala zakladatelské mýty obcí, „racionalizovala“ je, a proto postupně stavěla hranici mezi světem bohů a světem lidským. </w:t>
      </w:r>
    </w:p>
    <w:p w:rsidR="00970373" w:rsidRPr="004D3678" w:rsidRDefault="00970373" w:rsidP="004D36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AA5">
        <w:rPr>
          <w:rFonts w:ascii="Times New Roman" w:hAnsi="Times New Roman" w:cs="Times New Roman"/>
          <w:sz w:val="28"/>
          <w:szCs w:val="28"/>
        </w:rPr>
        <w:t xml:space="preserve">Přes kritiku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mytografie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však starověké dějepisectví zůstávalo nástrojem vytváření systému víry, byť odlišného od předešlých dob. Jak výstižně napsal P.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Veyne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, </w:t>
      </w:r>
      <w:r w:rsidRPr="004D3678">
        <w:rPr>
          <w:rFonts w:ascii="Times New Roman" w:hAnsi="Times New Roman" w:cs="Times New Roman"/>
          <w:i/>
          <w:sz w:val="28"/>
          <w:szCs w:val="28"/>
        </w:rPr>
        <w:t>„to čím</w:t>
      </w:r>
      <w:r w:rsidR="004D3678" w:rsidRPr="004D36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D3678">
        <w:rPr>
          <w:rFonts w:ascii="Times New Roman" w:hAnsi="Times New Roman" w:cs="Times New Roman"/>
          <w:i/>
          <w:sz w:val="28"/>
          <w:szCs w:val="28"/>
        </w:rPr>
        <w:t>historie byla, je jako skrytá část ledovce, která je tak velká, že už jde o jiný ledovec“</w:t>
      </w:r>
      <w:r w:rsidRPr="00F31AA5">
        <w:rPr>
          <w:rFonts w:ascii="Times New Roman" w:hAnsi="Times New Roman" w:cs="Times New Roman"/>
          <w:sz w:val="28"/>
          <w:szCs w:val="28"/>
        </w:rPr>
        <w:t xml:space="preserve">. Místo cyklického zpřítomňování mýtu nalézá historie pevný bod v  založení obce, obecněji pak jde o hledání počátku dějů ve spleti rozdílných tradovaných vyprávění. Kvas kultur v prostoru východního Středomoří si přímo vynucoval prokládání historického výkladu „etnografickými“ pasážemi, které jako v případě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Hérodotově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snadno přerostly do celých knih (a nemuselo jít jen o setkávání s odlišnými kulturami, stačí vzít do rukou </w:t>
      </w:r>
      <w:proofErr w:type="spellStart"/>
      <w:r w:rsidRPr="004D3678">
        <w:rPr>
          <w:rFonts w:ascii="Times New Roman" w:hAnsi="Times New Roman" w:cs="Times New Roman"/>
          <w:b/>
          <w:sz w:val="28"/>
          <w:szCs w:val="28"/>
        </w:rPr>
        <w:t>Pausániovo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</w:t>
      </w:r>
      <w:r w:rsidRPr="004D3678">
        <w:rPr>
          <w:rFonts w:ascii="Times New Roman" w:hAnsi="Times New Roman" w:cs="Times New Roman"/>
          <w:i/>
          <w:sz w:val="28"/>
          <w:szCs w:val="28"/>
        </w:rPr>
        <w:t>Cestování po Řecku</w:t>
      </w:r>
      <w:r w:rsidRPr="00F31AA5">
        <w:rPr>
          <w:rFonts w:ascii="Times New Roman" w:hAnsi="Times New Roman" w:cs="Times New Roman"/>
          <w:sz w:val="28"/>
          <w:szCs w:val="28"/>
        </w:rPr>
        <w:t xml:space="preserve">); podobně tomu bylo během římské expanze. V římském období se ale dějepisectví stává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romanocentrickým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, dějiny Říma jsou dějinami celého (známého) světa. Římští autoři se rovněž netají pojímáním dějepisectví jako nástroje výchovy ke ctnostem, historie se tu skutečně stává učitelkou života – ale i toho, jak úspěšně vládnout (což bude o více jak tisíc let později inspirovat N. Machiavelliho). Ačkoli </w:t>
      </w:r>
      <w:proofErr w:type="spellStart"/>
      <w:r w:rsidRPr="00F31AA5">
        <w:rPr>
          <w:rFonts w:ascii="Times New Roman" w:hAnsi="Times New Roman" w:cs="Times New Roman"/>
          <w:sz w:val="28"/>
          <w:szCs w:val="28"/>
        </w:rPr>
        <w:t>Aristotelés</w:t>
      </w:r>
      <w:proofErr w:type="spellEnd"/>
      <w:r w:rsidRPr="00F31AA5">
        <w:rPr>
          <w:rFonts w:ascii="Times New Roman" w:hAnsi="Times New Roman" w:cs="Times New Roman"/>
          <w:sz w:val="28"/>
          <w:szCs w:val="28"/>
        </w:rPr>
        <w:t xml:space="preserve"> rozlišoval historii jako nauku o tom, co bylo, a básnictví, jež se zabývá tím, co být mohlo, a kladl proto básnictví výše, stala se historie součástí rétoriky a byla poměřována</w:t>
      </w:r>
      <w:r w:rsidR="004D3678"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</w:p>
    <w:p w:rsidR="00274C63" w:rsidRDefault="00274C63" w:rsidP="007107D3">
      <w:pPr>
        <w:jc w:val="both"/>
      </w:pPr>
    </w:p>
    <w:p w:rsidR="00784BA2" w:rsidRPr="00784BA2" w:rsidRDefault="00784BA2" w:rsidP="007107D3">
      <w:pPr>
        <w:jc w:val="both"/>
        <w:rPr>
          <w:b/>
        </w:rPr>
      </w:pPr>
      <w:r w:rsidRPr="00784BA2">
        <w:rPr>
          <w:b/>
        </w:rPr>
        <w:t>K dalšímu čtení:</w:t>
      </w:r>
    </w:p>
    <w:p w:rsidR="00784BA2" w:rsidRDefault="00784BA2" w:rsidP="00784BA2">
      <w:proofErr w:type="spellStart"/>
      <w:r>
        <w:t>Assmann</w:t>
      </w:r>
      <w:proofErr w:type="spellEnd"/>
      <w:r>
        <w:t xml:space="preserve">, Jan: Kultura a paměť. Písmo, vzpomínka a politická identita v rozvinutých </w:t>
      </w:r>
    </w:p>
    <w:p w:rsidR="00784BA2" w:rsidRDefault="00784BA2" w:rsidP="00784BA2">
      <w:proofErr w:type="gramStart"/>
      <w:r>
        <w:t>kulturách</w:t>
      </w:r>
      <w:proofErr w:type="gramEnd"/>
      <w:r>
        <w:t xml:space="preserve"> starověku. Praha 2001.</w:t>
      </w:r>
    </w:p>
    <w:p w:rsidR="00784BA2" w:rsidRDefault="00784BA2" w:rsidP="00784BA2">
      <w:proofErr w:type="spellStart"/>
      <w:r>
        <w:t>Vernant</w:t>
      </w:r>
      <w:proofErr w:type="spellEnd"/>
      <w:r>
        <w:t>, Jean-</w:t>
      </w:r>
      <w:proofErr w:type="spellStart"/>
      <w:r>
        <w:t>Pierre</w:t>
      </w:r>
      <w:proofErr w:type="spellEnd"/>
      <w:r>
        <w:t>: Počátky řeckého myšlení. Praha 1995.</w:t>
      </w:r>
    </w:p>
    <w:p w:rsidR="00784BA2" w:rsidRDefault="00784BA2" w:rsidP="00784BA2">
      <w:proofErr w:type="spellStart"/>
      <w:r>
        <w:lastRenderedPageBreak/>
        <w:t>Veyne</w:t>
      </w:r>
      <w:proofErr w:type="spellEnd"/>
      <w:r>
        <w:t>, Paul: Věřili Řekové svým mýtům? Esej o konstitutivní imaginaci. Praha 1999.</w:t>
      </w:r>
    </w:p>
    <w:p w:rsidR="00784BA2" w:rsidRDefault="00784BA2" w:rsidP="007107D3">
      <w:pPr>
        <w:jc w:val="both"/>
      </w:pPr>
    </w:p>
    <w:sectPr w:rsidR="00784B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373"/>
    <w:rsid w:val="00274C63"/>
    <w:rsid w:val="004D3678"/>
    <w:rsid w:val="007107D3"/>
    <w:rsid w:val="00784BA2"/>
    <w:rsid w:val="00970373"/>
    <w:rsid w:val="00F3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F8E92"/>
  <w15:chartTrackingRefBased/>
  <w15:docId w15:val="{5BB146AC-DFA0-4A2B-AAB4-D8244087E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107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107D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1233</Words>
  <Characters>7279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3</cp:revision>
  <dcterms:created xsi:type="dcterms:W3CDTF">2020-04-22T15:05:00Z</dcterms:created>
  <dcterms:modified xsi:type="dcterms:W3CDTF">2020-05-25T18:02:00Z</dcterms:modified>
</cp:coreProperties>
</file>